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51420" w14:textId="77777777" w:rsidR="008C3561" w:rsidRDefault="008C3561"/>
    <w:p w14:paraId="69C1E7F7" w14:textId="77777777" w:rsidR="008C3561" w:rsidRDefault="008C3561"/>
    <w:p w14:paraId="4EECCE7D" w14:textId="77777777" w:rsidR="008C3561" w:rsidRDefault="00EC159D">
      <w:pPr>
        <w:rPr>
          <w:sz w:val="20"/>
          <w:szCs w:val="20"/>
        </w:rPr>
      </w:pPr>
      <w:r>
        <w:rPr>
          <w:sz w:val="20"/>
          <w:szCs w:val="20"/>
        </w:rPr>
        <w:t>April 2021</w:t>
      </w:r>
    </w:p>
    <w:p w14:paraId="6DBA707E" w14:textId="77777777" w:rsidR="008C3561" w:rsidRDefault="008C3561">
      <w:pPr>
        <w:rPr>
          <w:sz w:val="20"/>
          <w:szCs w:val="20"/>
        </w:rPr>
      </w:pPr>
    </w:p>
    <w:p w14:paraId="247A7EDF" w14:textId="77777777" w:rsidR="008C3561" w:rsidRDefault="00EC159D">
      <w:pPr>
        <w:spacing w:after="0" w:line="240" w:lineRule="auto"/>
        <w:rPr>
          <w:sz w:val="20"/>
          <w:szCs w:val="20"/>
        </w:rPr>
      </w:pPr>
      <w:r>
        <w:rPr>
          <w:sz w:val="20"/>
          <w:szCs w:val="20"/>
        </w:rPr>
        <w:t>Dep. of Environment, Land, Water and Planning</w:t>
      </w:r>
    </w:p>
    <w:p w14:paraId="0A61F679" w14:textId="77777777" w:rsidR="008C3561" w:rsidRDefault="00EC159D">
      <w:pPr>
        <w:spacing w:after="0" w:line="240" w:lineRule="auto"/>
        <w:rPr>
          <w:sz w:val="20"/>
          <w:szCs w:val="20"/>
        </w:rPr>
      </w:pPr>
      <w:r>
        <w:rPr>
          <w:sz w:val="20"/>
          <w:szCs w:val="20"/>
        </w:rPr>
        <w:t>8 Nicholson St</w:t>
      </w:r>
    </w:p>
    <w:p w14:paraId="6B39420B" w14:textId="77777777" w:rsidR="008C3561" w:rsidRDefault="00EC159D">
      <w:pPr>
        <w:spacing w:after="0" w:line="240" w:lineRule="auto"/>
        <w:rPr>
          <w:sz w:val="20"/>
          <w:szCs w:val="20"/>
        </w:rPr>
      </w:pPr>
      <w:r>
        <w:rPr>
          <w:sz w:val="20"/>
          <w:szCs w:val="20"/>
        </w:rPr>
        <w:t>Melbourne, 3000</w:t>
      </w:r>
    </w:p>
    <w:p w14:paraId="0EA781C8" w14:textId="77777777" w:rsidR="008C3561" w:rsidRDefault="00462FF2">
      <w:pPr>
        <w:spacing w:after="0" w:line="240" w:lineRule="auto"/>
        <w:rPr>
          <w:sz w:val="20"/>
          <w:szCs w:val="20"/>
        </w:rPr>
      </w:pPr>
      <w:hyperlink r:id="rId9">
        <w:r w:rsidR="00EC159D">
          <w:rPr>
            <w:color w:val="1155CC"/>
            <w:sz w:val="20"/>
            <w:szCs w:val="20"/>
            <w:u w:val="single"/>
          </w:rPr>
          <w:t>neighbourhood.batteries@delwp.vic.gov.au</w:t>
        </w:r>
      </w:hyperlink>
    </w:p>
    <w:p w14:paraId="4B2A8AC8" w14:textId="77777777" w:rsidR="008C3561" w:rsidRDefault="008C3561">
      <w:pPr>
        <w:spacing w:after="0" w:line="240" w:lineRule="auto"/>
        <w:rPr>
          <w:sz w:val="20"/>
          <w:szCs w:val="20"/>
        </w:rPr>
      </w:pPr>
    </w:p>
    <w:p w14:paraId="3A1AEC2E" w14:textId="77777777" w:rsidR="008C3561" w:rsidRDefault="00EC159D">
      <w:pPr>
        <w:spacing w:after="60" w:line="240" w:lineRule="auto"/>
        <w:rPr>
          <w:sz w:val="36"/>
          <w:szCs w:val="36"/>
        </w:rPr>
      </w:pPr>
      <w:r>
        <w:rPr>
          <w:color w:val="000000"/>
          <w:sz w:val="36"/>
          <w:szCs w:val="36"/>
        </w:rPr>
        <w:t xml:space="preserve">Submission </w:t>
      </w:r>
      <w:r>
        <w:rPr>
          <w:sz w:val="36"/>
          <w:szCs w:val="36"/>
        </w:rPr>
        <w:t>on the Victorian Neighbourhood Battery Initiative</w:t>
      </w:r>
    </w:p>
    <w:p w14:paraId="35E36C2A" w14:textId="77777777" w:rsidR="008C3561" w:rsidRDefault="00EC159D">
      <w:pPr>
        <w:spacing w:before="360" w:after="120" w:line="240" w:lineRule="auto"/>
        <w:rPr>
          <w:color w:val="000000"/>
          <w:sz w:val="32"/>
          <w:szCs w:val="32"/>
        </w:rPr>
      </w:pPr>
      <w:r>
        <w:rPr>
          <w:color w:val="000000"/>
          <w:sz w:val="32"/>
          <w:szCs w:val="32"/>
        </w:rPr>
        <w:t>Introduction</w:t>
      </w:r>
    </w:p>
    <w:p w14:paraId="70B95DB9" w14:textId="77777777" w:rsidR="008C3561" w:rsidRDefault="00EC159D">
      <w:pPr>
        <w:rPr>
          <w:b/>
          <w:color w:val="1A97A0"/>
          <w:sz w:val="20"/>
          <w:szCs w:val="20"/>
        </w:rPr>
      </w:pPr>
      <w:r>
        <w:rPr>
          <w:sz w:val="20"/>
          <w:szCs w:val="20"/>
        </w:rPr>
        <w:t>Thank you for the opportunity to make a submission on the Victorian Neighbourhood Battery Initiative. Having reviewed the consultation document and key questions, we recommend the State Government carefully considers how this program will ensure community groups can effectively participate in the Victorian Neighbourhood Battery Initiative (VNBI).</w:t>
      </w:r>
    </w:p>
    <w:p w14:paraId="124D7394" w14:textId="77777777" w:rsidR="008C3561" w:rsidRDefault="00EC159D">
      <w:pPr>
        <w:spacing w:after="0" w:line="240" w:lineRule="auto"/>
        <w:rPr>
          <w:b/>
          <w:i/>
          <w:color w:val="1A97A0"/>
          <w:sz w:val="20"/>
          <w:szCs w:val="20"/>
        </w:rPr>
      </w:pPr>
      <w:r>
        <w:rPr>
          <w:b/>
          <w:i/>
          <w:sz w:val="20"/>
          <w:szCs w:val="20"/>
        </w:rPr>
        <w:t>The Coalition for Community Energy (C4CE) represents a network of 105 community energy groups from around Australia.</w:t>
      </w:r>
      <w:r>
        <w:rPr>
          <w:b/>
          <w:i/>
          <w:color w:val="1A97A0"/>
          <w:sz w:val="20"/>
          <w:szCs w:val="20"/>
        </w:rPr>
        <w:t xml:space="preserve"> </w:t>
      </w:r>
    </w:p>
    <w:p w14:paraId="4057A180" w14:textId="77777777" w:rsidR="008C3561" w:rsidRDefault="008C3561">
      <w:pPr>
        <w:spacing w:after="0" w:line="240" w:lineRule="auto"/>
        <w:rPr>
          <w:b/>
          <w:color w:val="1A97A0"/>
          <w:sz w:val="20"/>
          <w:szCs w:val="20"/>
        </w:rPr>
      </w:pPr>
    </w:p>
    <w:p w14:paraId="095E3166" w14:textId="07D9D151" w:rsidR="008C3561" w:rsidRDefault="00EC159D">
      <w:pPr>
        <w:spacing w:line="240" w:lineRule="auto"/>
        <w:rPr>
          <w:sz w:val="20"/>
          <w:szCs w:val="20"/>
        </w:rPr>
      </w:pPr>
      <w:r>
        <w:rPr>
          <w:sz w:val="20"/>
          <w:szCs w:val="20"/>
        </w:rPr>
        <w:t>Community energy is growing in Australia and internationally and is contributing to energy sector reforms globally</w:t>
      </w:r>
      <w:r>
        <w:rPr>
          <w:sz w:val="20"/>
          <w:szCs w:val="20"/>
          <w:vertAlign w:val="superscript"/>
        </w:rPr>
        <w:footnoteReference w:id="1"/>
      </w:r>
      <w:r>
        <w:rPr>
          <w:sz w:val="20"/>
          <w:szCs w:val="20"/>
        </w:rPr>
        <w:t xml:space="preserve">. Responsive policies and programs, particularly by the New South Wales and Victorian State Governments have enabled communities to learn about community energy and form organisations and partnerships to plan projects that will benefit them. These programs have unlocked new projects and clean energy capacity across the country that is strengthening local economies and improving the social license of renewables. As the peak body for the community energy sector, we know that our sector can substantially scale up the benefits it delivers. To reach its full potential our sector needs better alignment of market signals with community benefits, and stronger participation within the traditional energy sector. </w:t>
      </w:r>
    </w:p>
    <w:p w14:paraId="7D99C2A2" w14:textId="77777777" w:rsidR="008C3561" w:rsidRDefault="00EC159D">
      <w:r>
        <w:rPr>
          <w:sz w:val="32"/>
          <w:szCs w:val="32"/>
        </w:rPr>
        <w:t>Key points</w:t>
      </w:r>
    </w:p>
    <w:p w14:paraId="0ECCC3FB" w14:textId="77777777" w:rsidR="008C3561" w:rsidRDefault="00EC159D">
      <w:pPr>
        <w:rPr>
          <w:sz w:val="20"/>
          <w:szCs w:val="20"/>
        </w:rPr>
      </w:pPr>
      <w:r>
        <w:rPr>
          <w:sz w:val="20"/>
          <w:szCs w:val="20"/>
        </w:rPr>
        <w:t xml:space="preserve">The state government has to date delivered significant programs enabling communities to participate in our future energy economy and grow the social license of new technologies. Most recently, the Community Power Hubs program is a promising signal of the State Government’s commitment to enable community leadership and capacity development in the renewables space. </w:t>
      </w:r>
    </w:p>
    <w:p w14:paraId="608722DD" w14:textId="1509562C" w:rsidR="008C3561" w:rsidRDefault="00EC159D">
      <w:pPr>
        <w:rPr>
          <w:sz w:val="20"/>
          <w:szCs w:val="20"/>
        </w:rPr>
      </w:pPr>
      <w:r>
        <w:rPr>
          <w:sz w:val="20"/>
          <w:szCs w:val="20"/>
        </w:rPr>
        <w:t>State Government support for the community energy sector has the potential to bolster the efforts of Victorian communities working to reach zero-net emissions. These communities are forging ahead with their own strategies to decarbonise and develop renewables as part of a broader grassroots climate effort. Critical to reaching these targets is enabling the high penetration of distributed</w:t>
      </w:r>
      <w:r w:rsidR="00FE277E">
        <w:rPr>
          <w:sz w:val="20"/>
          <w:szCs w:val="20"/>
        </w:rPr>
        <w:t xml:space="preserve"> </w:t>
      </w:r>
      <w:r w:rsidR="00B26DFD">
        <w:rPr>
          <w:sz w:val="20"/>
          <w:szCs w:val="20"/>
        </w:rPr>
        <w:t>renewables</w:t>
      </w:r>
      <w:r>
        <w:rPr>
          <w:sz w:val="20"/>
          <w:szCs w:val="20"/>
        </w:rPr>
        <w:t xml:space="preserve">, which will require </w:t>
      </w:r>
      <w:r w:rsidR="005E78AA">
        <w:rPr>
          <w:sz w:val="20"/>
          <w:szCs w:val="20"/>
        </w:rPr>
        <w:t xml:space="preserve">distributed </w:t>
      </w:r>
      <w:r>
        <w:rPr>
          <w:sz w:val="20"/>
          <w:szCs w:val="20"/>
        </w:rPr>
        <w:t xml:space="preserve">battery storage to optimise these </w:t>
      </w:r>
      <w:r w:rsidR="00B26DFD">
        <w:rPr>
          <w:sz w:val="20"/>
          <w:szCs w:val="20"/>
        </w:rPr>
        <w:t xml:space="preserve">assets and </w:t>
      </w:r>
      <w:r w:rsidR="005E78AA">
        <w:rPr>
          <w:sz w:val="20"/>
          <w:szCs w:val="20"/>
        </w:rPr>
        <w:t>minimise</w:t>
      </w:r>
      <w:r>
        <w:rPr>
          <w:sz w:val="20"/>
          <w:szCs w:val="20"/>
        </w:rPr>
        <w:t xml:space="preserve"> costly grid upgrades. Communities can play a central role in the development and delivery of  </w:t>
      </w:r>
      <w:r w:rsidR="00B26DFD">
        <w:rPr>
          <w:sz w:val="20"/>
          <w:szCs w:val="20"/>
        </w:rPr>
        <w:t xml:space="preserve">distributed </w:t>
      </w:r>
      <w:r>
        <w:rPr>
          <w:sz w:val="20"/>
          <w:szCs w:val="20"/>
        </w:rPr>
        <w:t>batter</w:t>
      </w:r>
      <w:r w:rsidR="005E78AA">
        <w:rPr>
          <w:sz w:val="20"/>
          <w:szCs w:val="20"/>
        </w:rPr>
        <w:t>y storage</w:t>
      </w:r>
      <w:r>
        <w:rPr>
          <w:sz w:val="20"/>
          <w:szCs w:val="20"/>
        </w:rPr>
        <w:t>, but the VNBI as proposed may do little to enable this leadership without deep</w:t>
      </w:r>
      <w:r w:rsidR="005E78AA">
        <w:rPr>
          <w:sz w:val="20"/>
          <w:szCs w:val="20"/>
        </w:rPr>
        <w:t>er</w:t>
      </w:r>
      <w:r>
        <w:rPr>
          <w:sz w:val="20"/>
          <w:szCs w:val="20"/>
        </w:rPr>
        <w:t xml:space="preserve"> consideration of what constitutes a </w:t>
      </w:r>
      <w:r w:rsidR="005E78AA">
        <w:rPr>
          <w:sz w:val="20"/>
          <w:szCs w:val="20"/>
        </w:rPr>
        <w:t xml:space="preserve">‘neighbourhood’ or </w:t>
      </w:r>
      <w:r>
        <w:rPr>
          <w:sz w:val="20"/>
          <w:szCs w:val="20"/>
        </w:rPr>
        <w:t xml:space="preserve">‘community’ battery. </w:t>
      </w:r>
    </w:p>
    <w:p w14:paraId="3B515858" w14:textId="1FEBBFDA" w:rsidR="00776B27" w:rsidRDefault="00EC159D">
      <w:pPr>
        <w:rPr>
          <w:sz w:val="20"/>
          <w:szCs w:val="20"/>
        </w:rPr>
      </w:pPr>
      <w:r>
        <w:rPr>
          <w:sz w:val="20"/>
          <w:szCs w:val="20"/>
        </w:rPr>
        <w:t xml:space="preserve">The VNBI consultation paper uses the term ‘neighbourhood’ </w:t>
      </w:r>
      <w:r w:rsidR="005E78AA">
        <w:rPr>
          <w:sz w:val="20"/>
          <w:szCs w:val="20"/>
        </w:rPr>
        <w:t xml:space="preserve">battery </w:t>
      </w:r>
      <w:r>
        <w:rPr>
          <w:sz w:val="20"/>
          <w:szCs w:val="20"/>
        </w:rPr>
        <w:t>where</w:t>
      </w:r>
      <w:r w:rsidR="005E78AA">
        <w:rPr>
          <w:sz w:val="20"/>
          <w:szCs w:val="20"/>
        </w:rPr>
        <w:t>as</w:t>
      </w:r>
      <w:r>
        <w:rPr>
          <w:sz w:val="20"/>
          <w:szCs w:val="20"/>
        </w:rPr>
        <w:t xml:space="preserve"> various other publications and projects</w:t>
      </w:r>
      <w:r w:rsidR="005E78AA">
        <w:rPr>
          <w:sz w:val="20"/>
          <w:szCs w:val="20"/>
        </w:rPr>
        <w:t xml:space="preserve">, </w:t>
      </w:r>
      <w:r w:rsidR="00776B27">
        <w:rPr>
          <w:sz w:val="20"/>
          <w:szCs w:val="20"/>
        </w:rPr>
        <w:t xml:space="preserve">including </w:t>
      </w:r>
      <w:r w:rsidR="005E78AA">
        <w:rPr>
          <w:sz w:val="20"/>
          <w:szCs w:val="20"/>
        </w:rPr>
        <w:t xml:space="preserve">those managed by </w:t>
      </w:r>
      <w:r w:rsidR="00D94F1D">
        <w:rPr>
          <w:sz w:val="20"/>
          <w:szCs w:val="20"/>
        </w:rPr>
        <w:t>Distribution Network Service Providers (</w:t>
      </w:r>
      <w:r w:rsidR="005E78AA">
        <w:rPr>
          <w:sz w:val="20"/>
          <w:szCs w:val="20"/>
        </w:rPr>
        <w:t>DNSPs</w:t>
      </w:r>
      <w:r w:rsidR="00D94F1D">
        <w:rPr>
          <w:sz w:val="20"/>
          <w:szCs w:val="20"/>
        </w:rPr>
        <w:t>)</w:t>
      </w:r>
      <w:r w:rsidR="00776B27">
        <w:rPr>
          <w:sz w:val="20"/>
          <w:szCs w:val="20"/>
        </w:rPr>
        <w:t>,</w:t>
      </w:r>
      <w:r>
        <w:rPr>
          <w:sz w:val="20"/>
          <w:szCs w:val="20"/>
        </w:rPr>
        <w:t xml:space="preserve"> call these projects ‘community batteries’</w:t>
      </w:r>
      <w:r w:rsidR="00776B27">
        <w:rPr>
          <w:rStyle w:val="FootnoteReference"/>
          <w:sz w:val="20"/>
          <w:szCs w:val="20"/>
        </w:rPr>
        <w:footnoteReference w:id="2"/>
      </w:r>
      <w:r>
        <w:rPr>
          <w:sz w:val="20"/>
          <w:szCs w:val="20"/>
        </w:rPr>
        <w:t xml:space="preserve">. </w:t>
      </w:r>
      <w:r w:rsidR="00776B27">
        <w:rPr>
          <w:sz w:val="20"/>
          <w:szCs w:val="20"/>
        </w:rPr>
        <w:t>B</w:t>
      </w:r>
      <w:r>
        <w:rPr>
          <w:sz w:val="20"/>
          <w:szCs w:val="20"/>
        </w:rPr>
        <w:t xml:space="preserve">oth </w:t>
      </w:r>
      <w:r w:rsidR="00776B27">
        <w:rPr>
          <w:sz w:val="20"/>
          <w:szCs w:val="20"/>
        </w:rPr>
        <w:t xml:space="preserve">terms </w:t>
      </w:r>
      <w:r>
        <w:rPr>
          <w:sz w:val="20"/>
          <w:szCs w:val="20"/>
        </w:rPr>
        <w:t xml:space="preserve">imply </w:t>
      </w:r>
      <w:r w:rsidR="00394EF0">
        <w:rPr>
          <w:sz w:val="20"/>
          <w:szCs w:val="20"/>
        </w:rPr>
        <w:lastRenderedPageBreak/>
        <w:t xml:space="preserve">such batteries are scaled to meet local needs. However, </w:t>
      </w:r>
      <w:r>
        <w:rPr>
          <w:sz w:val="20"/>
          <w:szCs w:val="20"/>
        </w:rPr>
        <w:t>questions of ownership, control and benefit</w:t>
      </w:r>
      <w:r w:rsidR="00490039">
        <w:rPr>
          <w:sz w:val="20"/>
          <w:szCs w:val="20"/>
        </w:rPr>
        <w:t xml:space="preserve"> </w:t>
      </w:r>
      <w:r w:rsidR="00B83217">
        <w:rPr>
          <w:sz w:val="20"/>
          <w:szCs w:val="20"/>
        </w:rPr>
        <w:t xml:space="preserve">are yet to be </w:t>
      </w:r>
      <w:r w:rsidR="00490039">
        <w:rPr>
          <w:sz w:val="20"/>
          <w:szCs w:val="20"/>
        </w:rPr>
        <w:t xml:space="preserve">fully </w:t>
      </w:r>
      <w:r w:rsidR="00B26DFD">
        <w:rPr>
          <w:sz w:val="20"/>
          <w:szCs w:val="20"/>
        </w:rPr>
        <w:t xml:space="preserve">examined </w:t>
      </w:r>
      <w:r w:rsidR="00B83217">
        <w:rPr>
          <w:sz w:val="20"/>
          <w:szCs w:val="20"/>
        </w:rPr>
        <w:t xml:space="preserve">and </w:t>
      </w:r>
      <w:r w:rsidR="00B26DFD">
        <w:rPr>
          <w:sz w:val="20"/>
          <w:szCs w:val="20"/>
        </w:rPr>
        <w:t>articulated</w:t>
      </w:r>
      <w:r>
        <w:rPr>
          <w:sz w:val="20"/>
          <w:szCs w:val="20"/>
        </w:rPr>
        <w:t>.</w:t>
      </w:r>
      <w:r w:rsidR="00490039">
        <w:rPr>
          <w:sz w:val="20"/>
          <w:szCs w:val="20"/>
        </w:rPr>
        <w:t xml:space="preserve"> </w:t>
      </w:r>
      <w:r w:rsidR="00B26DFD">
        <w:rPr>
          <w:sz w:val="20"/>
          <w:szCs w:val="20"/>
        </w:rPr>
        <w:t xml:space="preserve">To date, </w:t>
      </w:r>
      <w:r w:rsidR="00B83217">
        <w:rPr>
          <w:sz w:val="20"/>
          <w:szCs w:val="20"/>
        </w:rPr>
        <w:t xml:space="preserve">most if not all </w:t>
      </w:r>
      <w:r w:rsidR="009E6A41">
        <w:rPr>
          <w:sz w:val="20"/>
          <w:szCs w:val="20"/>
        </w:rPr>
        <w:t xml:space="preserve">‘neighbourhood’ or ‘community’ </w:t>
      </w:r>
      <w:r w:rsidR="00B26DFD">
        <w:rPr>
          <w:sz w:val="20"/>
          <w:szCs w:val="20"/>
        </w:rPr>
        <w:t>batter</w:t>
      </w:r>
      <w:r w:rsidR="009E6A41">
        <w:rPr>
          <w:sz w:val="20"/>
          <w:szCs w:val="20"/>
        </w:rPr>
        <w:t>ies</w:t>
      </w:r>
      <w:r w:rsidR="009E6A41" w:rsidRPr="009E6A41">
        <w:t xml:space="preserve"> </w:t>
      </w:r>
      <w:r w:rsidR="009E6A41">
        <w:t xml:space="preserve">have been </w:t>
      </w:r>
      <w:r w:rsidR="009E6A41" w:rsidRPr="009E6A41">
        <w:rPr>
          <w:sz w:val="20"/>
          <w:szCs w:val="20"/>
        </w:rPr>
        <w:t>100% owne</w:t>
      </w:r>
      <w:r w:rsidR="009E6A41">
        <w:rPr>
          <w:sz w:val="20"/>
          <w:szCs w:val="20"/>
        </w:rPr>
        <w:t xml:space="preserve">d </w:t>
      </w:r>
      <w:r w:rsidR="009E6A41" w:rsidRPr="009E6A41">
        <w:rPr>
          <w:sz w:val="20"/>
          <w:szCs w:val="20"/>
        </w:rPr>
        <w:t>and control</w:t>
      </w:r>
      <w:r w:rsidR="009E6A41">
        <w:rPr>
          <w:sz w:val="20"/>
          <w:szCs w:val="20"/>
        </w:rPr>
        <w:t xml:space="preserve">led by </w:t>
      </w:r>
      <w:r w:rsidR="009E6A41" w:rsidRPr="009E6A41">
        <w:rPr>
          <w:sz w:val="20"/>
          <w:szCs w:val="20"/>
        </w:rPr>
        <w:t>DNSPs</w:t>
      </w:r>
      <w:r w:rsidR="009E6A41">
        <w:rPr>
          <w:sz w:val="20"/>
          <w:szCs w:val="20"/>
        </w:rPr>
        <w:t xml:space="preserve">. </w:t>
      </w:r>
      <w:r w:rsidR="00B83217">
        <w:rPr>
          <w:sz w:val="20"/>
          <w:szCs w:val="20"/>
        </w:rPr>
        <w:t>T</w:t>
      </w:r>
      <w:r w:rsidR="009E6A41">
        <w:rPr>
          <w:sz w:val="20"/>
          <w:szCs w:val="20"/>
        </w:rPr>
        <w:t xml:space="preserve">hese types of </w:t>
      </w:r>
      <w:r w:rsidR="00394EF0">
        <w:rPr>
          <w:sz w:val="20"/>
          <w:szCs w:val="20"/>
        </w:rPr>
        <w:t xml:space="preserve">batteries </w:t>
      </w:r>
      <w:r w:rsidR="00B83217">
        <w:rPr>
          <w:sz w:val="20"/>
          <w:szCs w:val="20"/>
        </w:rPr>
        <w:t xml:space="preserve">should </w:t>
      </w:r>
      <w:r w:rsidR="009E6A41">
        <w:rPr>
          <w:sz w:val="20"/>
          <w:szCs w:val="20"/>
        </w:rPr>
        <w:t xml:space="preserve">be </w:t>
      </w:r>
      <w:r w:rsidR="00394EF0">
        <w:rPr>
          <w:sz w:val="20"/>
          <w:szCs w:val="20"/>
        </w:rPr>
        <w:t xml:space="preserve">referred to as </w:t>
      </w:r>
      <w:r w:rsidR="009E6A41">
        <w:rPr>
          <w:sz w:val="20"/>
          <w:szCs w:val="20"/>
        </w:rPr>
        <w:t xml:space="preserve">‘distributor’ batteries </w:t>
      </w:r>
      <w:r w:rsidR="00394EF0">
        <w:rPr>
          <w:sz w:val="20"/>
          <w:szCs w:val="20"/>
        </w:rPr>
        <w:t xml:space="preserve">to better reflect their ownership and governance. </w:t>
      </w:r>
      <w:r w:rsidR="00B83217">
        <w:rPr>
          <w:sz w:val="20"/>
          <w:szCs w:val="20"/>
        </w:rPr>
        <w:t>T</w:t>
      </w:r>
      <w:r w:rsidR="009E6A41">
        <w:rPr>
          <w:sz w:val="20"/>
          <w:szCs w:val="20"/>
        </w:rPr>
        <w:t xml:space="preserve">he term ‘community’ </w:t>
      </w:r>
      <w:r w:rsidR="00394EF0">
        <w:rPr>
          <w:sz w:val="20"/>
          <w:szCs w:val="20"/>
        </w:rPr>
        <w:t xml:space="preserve">batteries should </w:t>
      </w:r>
      <w:r w:rsidR="009E6A41">
        <w:rPr>
          <w:sz w:val="20"/>
          <w:szCs w:val="20"/>
        </w:rPr>
        <w:t xml:space="preserve">be used to refer to </w:t>
      </w:r>
      <w:r w:rsidR="00394EF0">
        <w:rPr>
          <w:sz w:val="20"/>
          <w:szCs w:val="20"/>
        </w:rPr>
        <w:t xml:space="preserve">batteries that </w:t>
      </w:r>
      <w:r w:rsidR="009E6A41">
        <w:rPr>
          <w:sz w:val="20"/>
          <w:szCs w:val="20"/>
        </w:rPr>
        <w:t>include members of a local community in the ownership and/or governance of the asset.</w:t>
      </w:r>
      <w:r>
        <w:rPr>
          <w:sz w:val="20"/>
          <w:szCs w:val="20"/>
        </w:rPr>
        <w:t xml:space="preserve"> </w:t>
      </w:r>
      <w:r w:rsidR="00D94F1D">
        <w:rPr>
          <w:sz w:val="20"/>
          <w:szCs w:val="20"/>
        </w:rPr>
        <w:t>This distinction also creates space for h</w:t>
      </w:r>
      <w:r w:rsidR="00B83217">
        <w:rPr>
          <w:sz w:val="20"/>
          <w:szCs w:val="20"/>
        </w:rPr>
        <w:t>ybrid models where community members co-invest in a battery that is operated by a DNSP.</w:t>
      </w:r>
    </w:p>
    <w:p w14:paraId="3AB6FC90" w14:textId="6629A568" w:rsidR="008C3561" w:rsidRDefault="00EC159D">
      <w:pPr>
        <w:rPr>
          <w:sz w:val="20"/>
          <w:szCs w:val="20"/>
        </w:rPr>
      </w:pPr>
      <w:r>
        <w:rPr>
          <w:sz w:val="20"/>
          <w:szCs w:val="20"/>
        </w:rPr>
        <w:t>Within the consultation paper, some of the models described only highlight minor benefits, such</w:t>
      </w:r>
      <w:r>
        <w:t xml:space="preserve"> </w:t>
      </w:r>
      <w:r>
        <w:rPr>
          <w:sz w:val="20"/>
          <w:szCs w:val="20"/>
        </w:rPr>
        <w:t>as potentially lower bills. As noted by ANU researchers</w:t>
      </w:r>
      <w:r w:rsidR="005E78AA">
        <w:rPr>
          <w:rStyle w:val="FootnoteReference"/>
          <w:sz w:val="20"/>
          <w:szCs w:val="20"/>
        </w:rPr>
        <w:footnoteReference w:id="3"/>
      </w:r>
      <w:r>
        <w:rPr>
          <w:sz w:val="20"/>
          <w:szCs w:val="20"/>
        </w:rPr>
        <w:t xml:space="preserve">, community members themselves may not see DNSPs and retailers as suitable proponents for community-scale projects. </w:t>
      </w:r>
      <w:r w:rsidR="00D94F1D" w:rsidRPr="00D94F1D">
        <w:rPr>
          <w:sz w:val="20"/>
          <w:szCs w:val="20"/>
        </w:rPr>
        <w:t xml:space="preserve">In our view, </w:t>
      </w:r>
      <w:r w:rsidR="00D94F1D">
        <w:rPr>
          <w:sz w:val="20"/>
          <w:szCs w:val="20"/>
        </w:rPr>
        <w:t xml:space="preserve">mislabelled </w:t>
      </w:r>
      <w:r w:rsidR="00D94F1D" w:rsidRPr="00D94F1D">
        <w:rPr>
          <w:sz w:val="20"/>
          <w:szCs w:val="20"/>
        </w:rPr>
        <w:t xml:space="preserve">distributor batteries </w:t>
      </w:r>
      <w:r w:rsidR="00D94F1D">
        <w:rPr>
          <w:sz w:val="20"/>
          <w:szCs w:val="20"/>
        </w:rPr>
        <w:t xml:space="preserve">may insufficiently engage local communities and thereby </w:t>
      </w:r>
      <w:r>
        <w:rPr>
          <w:sz w:val="20"/>
          <w:szCs w:val="20"/>
        </w:rPr>
        <w:t>limit the potential effectiveness of the VBNI to contribute more directly to local economies, community resilience and the broader zero-net emissions movement.</w:t>
      </w:r>
    </w:p>
    <w:p w14:paraId="1903FCED" w14:textId="0F8C363E" w:rsidR="008C3561" w:rsidRDefault="00EC159D">
      <w:pPr>
        <w:rPr>
          <w:sz w:val="20"/>
          <w:szCs w:val="20"/>
        </w:rPr>
      </w:pPr>
      <w:r>
        <w:rPr>
          <w:sz w:val="20"/>
          <w:szCs w:val="20"/>
        </w:rPr>
        <w:t xml:space="preserve">While DNSPs, retailers or other energy businesses may be able to deliver </w:t>
      </w:r>
      <w:r w:rsidR="00C93C66">
        <w:rPr>
          <w:sz w:val="20"/>
          <w:szCs w:val="20"/>
        </w:rPr>
        <w:t>mid</w:t>
      </w:r>
      <w:r>
        <w:rPr>
          <w:sz w:val="20"/>
          <w:szCs w:val="20"/>
        </w:rPr>
        <w:t xml:space="preserve">-scale batteries that </w:t>
      </w:r>
      <w:r w:rsidR="00C93C66">
        <w:rPr>
          <w:sz w:val="20"/>
          <w:szCs w:val="20"/>
        </w:rPr>
        <w:t>meet</w:t>
      </w:r>
      <w:r>
        <w:rPr>
          <w:sz w:val="20"/>
          <w:szCs w:val="20"/>
        </w:rPr>
        <w:t xml:space="preserve"> the needs of </w:t>
      </w:r>
      <w:r w:rsidR="00C93C66">
        <w:rPr>
          <w:sz w:val="20"/>
          <w:szCs w:val="20"/>
        </w:rPr>
        <w:t>local energy consumers</w:t>
      </w:r>
      <w:r>
        <w:rPr>
          <w:sz w:val="20"/>
          <w:szCs w:val="20"/>
        </w:rPr>
        <w:t xml:space="preserve">, it should not be assumed that they will do so. </w:t>
      </w:r>
      <w:r w:rsidR="00994D8B">
        <w:rPr>
          <w:sz w:val="20"/>
          <w:szCs w:val="20"/>
        </w:rPr>
        <w:t>Moreover, c</w:t>
      </w:r>
      <w:r>
        <w:rPr>
          <w:sz w:val="20"/>
          <w:szCs w:val="20"/>
        </w:rPr>
        <w:t xml:space="preserve">ommercial businesses </w:t>
      </w:r>
      <w:r w:rsidR="00C93C66">
        <w:rPr>
          <w:sz w:val="20"/>
          <w:szCs w:val="20"/>
        </w:rPr>
        <w:t xml:space="preserve">must </w:t>
      </w:r>
      <w:r w:rsidR="00994D8B" w:rsidRPr="00994D8B">
        <w:rPr>
          <w:sz w:val="20"/>
          <w:szCs w:val="20"/>
        </w:rPr>
        <w:t xml:space="preserve">extract a </w:t>
      </w:r>
      <w:r w:rsidR="00994D8B">
        <w:rPr>
          <w:sz w:val="20"/>
          <w:szCs w:val="20"/>
        </w:rPr>
        <w:t xml:space="preserve">sufficient </w:t>
      </w:r>
      <w:r w:rsidR="00994D8B" w:rsidRPr="00994D8B">
        <w:rPr>
          <w:sz w:val="20"/>
          <w:szCs w:val="20"/>
        </w:rPr>
        <w:t xml:space="preserve">margin </w:t>
      </w:r>
      <w:r w:rsidR="00994D8B">
        <w:rPr>
          <w:sz w:val="20"/>
          <w:szCs w:val="20"/>
        </w:rPr>
        <w:t xml:space="preserve">to </w:t>
      </w:r>
      <w:r w:rsidR="00C93C66">
        <w:rPr>
          <w:sz w:val="20"/>
          <w:szCs w:val="20"/>
        </w:rPr>
        <w:t xml:space="preserve">turn a profit and </w:t>
      </w:r>
      <w:r>
        <w:rPr>
          <w:sz w:val="20"/>
          <w:szCs w:val="20"/>
        </w:rPr>
        <w:t xml:space="preserve">pay dividends to shareholders, diminishing </w:t>
      </w:r>
      <w:r w:rsidR="00C93C66">
        <w:rPr>
          <w:sz w:val="20"/>
          <w:szCs w:val="20"/>
        </w:rPr>
        <w:t>any</w:t>
      </w:r>
      <w:r>
        <w:rPr>
          <w:sz w:val="20"/>
          <w:szCs w:val="20"/>
        </w:rPr>
        <w:t xml:space="preserve"> returns </w:t>
      </w:r>
      <w:r w:rsidR="00C93C66">
        <w:rPr>
          <w:sz w:val="20"/>
          <w:szCs w:val="20"/>
        </w:rPr>
        <w:t xml:space="preserve">that may be </w:t>
      </w:r>
      <w:r>
        <w:rPr>
          <w:sz w:val="20"/>
          <w:szCs w:val="20"/>
        </w:rPr>
        <w:t xml:space="preserve">available to the community. Social research also suggests limited trust from community members towards DNSPs and retailers. Furthermore, provision of community benefit (beyond the market and or network services they perform) are typically driven by Corporate Social Responsibility </w:t>
      </w:r>
      <w:r w:rsidR="00994D8B">
        <w:rPr>
          <w:sz w:val="20"/>
          <w:szCs w:val="20"/>
        </w:rPr>
        <w:t xml:space="preserve">objectives </w:t>
      </w:r>
      <w:r>
        <w:rPr>
          <w:sz w:val="20"/>
          <w:szCs w:val="20"/>
        </w:rPr>
        <w:t xml:space="preserve">and </w:t>
      </w:r>
      <w:r w:rsidR="00994D8B">
        <w:rPr>
          <w:sz w:val="20"/>
          <w:szCs w:val="20"/>
        </w:rPr>
        <w:t xml:space="preserve">are </w:t>
      </w:r>
      <w:r>
        <w:rPr>
          <w:sz w:val="20"/>
          <w:szCs w:val="20"/>
        </w:rPr>
        <w:t xml:space="preserve">often a minor consideration within the broader business. </w:t>
      </w:r>
      <w:r w:rsidR="00994D8B" w:rsidRPr="00FE277E">
        <w:rPr>
          <w:b/>
          <w:i/>
          <w:sz w:val="20"/>
          <w:szCs w:val="20"/>
        </w:rPr>
        <w:t>S</w:t>
      </w:r>
      <w:r w:rsidR="00994D8B">
        <w:rPr>
          <w:b/>
          <w:i/>
          <w:sz w:val="20"/>
          <w:szCs w:val="20"/>
        </w:rPr>
        <w:t>hould the VNBI program fail to create/apply meaningful assessment criteria, t</w:t>
      </w:r>
      <w:r>
        <w:rPr>
          <w:b/>
          <w:i/>
          <w:sz w:val="20"/>
          <w:szCs w:val="20"/>
        </w:rPr>
        <w:t>he distribution of financial rewards could be skewed to private rather than community benefit</w:t>
      </w:r>
      <w:r w:rsidR="00994D8B">
        <w:rPr>
          <w:b/>
          <w:i/>
          <w:sz w:val="20"/>
          <w:szCs w:val="20"/>
        </w:rPr>
        <w:t>.</w:t>
      </w:r>
      <w:r>
        <w:rPr>
          <w:b/>
          <w:i/>
          <w:sz w:val="20"/>
          <w:szCs w:val="20"/>
        </w:rPr>
        <w:t xml:space="preserve"> </w:t>
      </w:r>
      <w:r>
        <w:rPr>
          <w:sz w:val="20"/>
          <w:szCs w:val="20"/>
        </w:rPr>
        <w:t>This is not to say that DNSPs, retailers and other energy businesses do not have a role to play in the program, but that there should be careful consideration of what benefits they will offer communities.</w:t>
      </w:r>
    </w:p>
    <w:p w14:paraId="490AD70E" w14:textId="395C160B" w:rsidR="008C3561" w:rsidRDefault="00EC159D">
      <w:pPr>
        <w:rPr>
          <w:sz w:val="20"/>
          <w:szCs w:val="20"/>
        </w:rPr>
      </w:pPr>
      <w:r>
        <w:rPr>
          <w:sz w:val="20"/>
          <w:szCs w:val="20"/>
        </w:rPr>
        <w:t xml:space="preserve">To ensure that </w:t>
      </w:r>
      <w:r w:rsidR="00994D8B">
        <w:rPr>
          <w:sz w:val="20"/>
          <w:szCs w:val="20"/>
        </w:rPr>
        <w:t xml:space="preserve">VNBI </w:t>
      </w:r>
      <w:r>
        <w:rPr>
          <w:sz w:val="20"/>
          <w:szCs w:val="20"/>
        </w:rPr>
        <w:t xml:space="preserve">funded projects do deliver community benefits, we </w:t>
      </w:r>
      <w:r w:rsidR="00994D8B">
        <w:rPr>
          <w:sz w:val="20"/>
          <w:szCs w:val="20"/>
        </w:rPr>
        <w:t>suggest</w:t>
      </w:r>
      <w:r>
        <w:rPr>
          <w:sz w:val="20"/>
          <w:szCs w:val="20"/>
        </w:rPr>
        <w:t xml:space="preserve"> assessing </w:t>
      </w:r>
      <w:r w:rsidR="00994D8B">
        <w:rPr>
          <w:sz w:val="20"/>
          <w:szCs w:val="20"/>
        </w:rPr>
        <w:t>applications against</w:t>
      </w:r>
      <w:r>
        <w:rPr>
          <w:sz w:val="20"/>
          <w:szCs w:val="20"/>
        </w:rPr>
        <w:t xml:space="preserve"> the following criteria: </w:t>
      </w:r>
    </w:p>
    <w:p w14:paraId="3FE90E73" w14:textId="03D3C391" w:rsidR="008C3561" w:rsidRDefault="00EC159D">
      <w:pPr>
        <w:numPr>
          <w:ilvl w:val="0"/>
          <w:numId w:val="1"/>
        </w:numPr>
        <w:spacing w:after="0" w:line="240" w:lineRule="auto"/>
        <w:rPr>
          <w:rFonts w:ascii="Karla" w:eastAsia="Karla" w:hAnsi="Karla" w:cs="Karla"/>
          <w:sz w:val="20"/>
          <w:szCs w:val="20"/>
        </w:rPr>
      </w:pPr>
      <w:r>
        <w:rPr>
          <w:b/>
          <w:i/>
          <w:sz w:val="20"/>
          <w:szCs w:val="20"/>
        </w:rPr>
        <w:t>Community</w:t>
      </w:r>
      <w:r w:rsidR="00994D8B">
        <w:rPr>
          <w:b/>
          <w:i/>
          <w:sz w:val="20"/>
          <w:szCs w:val="20"/>
        </w:rPr>
        <w:t xml:space="preserve"> co</w:t>
      </w:r>
      <w:r>
        <w:rPr>
          <w:b/>
          <w:i/>
          <w:sz w:val="20"/>
          <w:szCs w:val="20"/>
        </w:rPr>
        <w:t>-</w:t>
      </w:r>
      <w:r w:rsidR="00994D8B">
        <w:rPr>
          <w:b/>
          <w:i/>
          <w:sz w:val="20"/>
          <w:szCs w:val="20"/>
        </w:rPr>
        <w:t>investment</w:t>
      </w:r>
      <w:r>
        <w:rPr>
          <w:b/>
          <w:i/>
          <w:sz w:val="20"/>
          <w:szCs w:val="20"/>
        </w:rPr>
        <w:t>:</w:t>
      </w:r>
      <w:r>
        <w:rPr>
          <w:sz w:val="20"/>
          <w:szCs w:val="20"/>
        </w:rPr>
        <w:t xml:space="preserve"> Community members are able to purchase shares </w:t>
      </w:r>
      <w:r w:rsidR="00EF46DB">
        <w:rPr>
          <w:sz w:val="20"/>
          <w:szCs w:val="20"/>
        </w:rPr>
        <w:t xml:space="preserve">in the asset owning vehicle </w:t>
      </w:r>
      <w:r>
        <w:rPr>
          <w:sz w:val="20"/>
          <w:szCs w:val="20"/>
        </w:rPr>
        <w:t>and receive dividends.</w:t>
      </w:r>
      <w:r w:rsidR="00994D8B">
        <w:rPr>
          <w:sz w:val="20"/>
          <w:szCs w:val="20"/>
        </w:rPr>
        <w:t xml:space="preserve"> A minimum </w:t>
      </w:r>
      <w:r w:rsidR="00EF46DB">
        <w:rPr>
          <w:sz w:val="20"/>
          <w:szCs w:val="20"/>
        </w:rPr>
        <w:t>equity leve</w:t>
      </w:r>
      <w:r w:rsidR="00994D8B">
        <w:rPr>
          <w:sz w:val="20"/>
          <w:szCs w:val="20"/>
        </w:rPr>
        <w:t xml:space="preserve">l </w:t>
      </w:r>
      <w:r w:rsidR="00EF46DB">
        <w:rPr>
          <w:sz w:val="20"/>
          <w:szCs w:val="20"/>
        </w:rPr>
        <w:t xml:space="preserve">(such as 10%) </w:t>
      </w:r>
      <w:r w:rsidR="00994D8B">
        <w:rPr>
          <w:sz w:val="20"/>
          <w:szCs w:val="20"/>
        </w:rPr>
        <w:t xml:space="preserve">and/or maximum </w:t>
      </w:r>
      <w:r w:rsidR="00EF46DB">
        <w:rPr>
          <w:sz w:val="20"/>
          <w:szCs w:val="20"/>
        </w:rPr>
        <w:t xml:space="preserve">level </w:t>
      </w:r>
      <w:r w:rsidR="00994D8B">
        <w:rPr>
          <w:sz w:val="20"/>
          <w:szCs w:val="20"/>
        </w:rPr>
        <w:t xml:space="preserve">(such as </w:t>
      </w:r>
      <w:r w:rsidR="00EF46DB">
        <w:rPr>
          <w:sz w:val="20"/>
          <w:szCs w:val="20"/>
        </w:rPr>
        <w:t>50</w:t>
      </w:r>
      <w:r w:rsidR="00994D8B">
        <w:rPr>
          <w:sz w:val="20"/>
          <w:szCs w:val="20"/>
        </w:rPr>
        <w:t>%) could be specified</w:t>
      </w:r>
      <w:r w:rsidR="00EF46DB">
        <w:rPr>
          <w:sz w:val="20"/>
          <w:szCs w:val="20"/>
        </w:rPr>
        <w:t xml:space="preserve"> while a DNSP and/or other financier could guarantee to fund the remainder.</w:t>
      </w:r>
    </w:p>
    <w:p w14:paraId="6ADC2DDD" w14:textId="6962CC7C" w:rsidR="008C3561" w:rsidRDefault="00EC159D">
      <w:pPr>
        <w:numPr>
          <w:ilvl w:val="0"/>
          <w:numId w:val="1"/>
        </w:numPr>
        <w:spacing w:after="0" w:line="240" w:lineRule="auto"/>
        <w:rPr>
          <w:rFonts w:ascii="Karla" w:eastAsia="Karla" w:hAnsi="Karla" w:cs="Karla"/>
          <w:sz w:val="20"/>
          <w:szCs w:val="20"/>
        </w:rPr>
      </w:pPr>
      <w:r>
        <w:rPr>
          <w:b/>
          <w:i/>
          <w:sz w:val="20"/>
          <w:szCs w:val="20"/>
        </w:rPr>
        <w:t xml:space="preserve">Community </w:t>
      </w:r>
      <w:r w:rsidR="00994D8B">
        <w:rPr>
          <w:b/>
          <w:i/>
          <w:sz w:val="20"/>
          <w:szCs w:val="20"/>
        </w:rPr>
        <w:t>benefit</w:t>
      </w:r>
      <w:r>
        <w:rPr>
          <w:b/>
          <w:sz w:val="20"/>
          <w:szCs w:val="20"/>
        </w:rPr>
        <w:t>:</w:t>
      </w:r>
      <w:r>
        <w:rPr>
          <w:sz w:val="20"/>
          <w:szCs w:val="20"/>
        </w:rPr>
        <w:t xml:space="preserve"> </w:t>
      </w:r>
      <w:r w:rsidR="00254423">
        <w:rPr>
          <w:sz w:val="20"/>
          <w:szCs w:val="20"/>
        </w:rPr>
        <w:t>A</w:t>
      </w:r>
      <w:r w:rsidR="00EF46DB">
        <w:rPr>
          <w:sz w:val="20"/>
          <w:szCs w:val="20"/>
        </w:rPr>
        <w:t xml:space="preserve"> portion of the profits from </w:t>
      </w:r>
      <w:r>
        <w:rPr>
          <w:sz w:val="20"/>
          <w:szCs w:val="20"/>
        </w:rPr>
        <w:t>the battery</w:t>
      </w:r>
      <w:r w:rsidR="00EF46DB">
        <w:rPr>
          <w:sz w:val="20"/>
          <w:szCs w:val="20"/>
        </w:rPr>
        <w:t>’s operations are</w:t>
      </w:r>
      <w:r>
        <w:rPr>
          <w:sz w:val="20"/>
          <w:szCs w:val="20"/>
        </w:rPr>
        <w:t xml:space="preserve"> invest</w:t>
      </w:r>
      <w:r w:rsidR="00EF46DB">
        <w:rPr>
          <w:sz w:val="20"/>
          <w:szCs w:val="20"/>
        </w:rPr>
        <w:t>ed</w:t>
      </w:r>
      <w:r>
        <w:rPr>
          <w:sz w:val="20"/>
          <w:szCs w:val="20"/>
        </w:rPr>
        <w:t xml:space="preserve"> directly into projects that have been co-designed with </w:t>
      </w:r>
      <w:r w:rsidR="00EF46DB">
        <w:rPr>
          <w:sz w:val="20"/>
          <w:szCs w:val="20"/>
        </w:rPr>
        <w:t xml:space="preserve">or approved by </w:t>
      </w:r>
      <w:r>
        <w:rPr>
          <w:sz w:val="20"/>
          <w:szCs w:val="20"/>
        </w:rPr>
        <w:t>the community</w:t>
      </w:r>
      <w:r w:rsidR="00EF46DB">
        <w:rPr>
          <w:sz w:val="20"/>
          <w:szCs w:val="20"/>
        </w:rPr>
        <w:t>,</w:t>
      </w:r>
      <w:r>
        <w:rPr>
          <w:sz w:val="20"/>
          <w:szCs w:val="20"/>
        </w:rPr>
        <w:t xml:space="preserve"> or </w:t>
      </w:r>
      <w:r w:rsidR="00EF46DB">
        <w:rPr>
          <w:sz w:val="20"/>
          <w:szCs w:val="20"/>
        </w:rPr>
        <w:t xml:space="preserve">the project </w:t>
      </w:r>
      <w:r>
        <w:rPr>
          <w:sz w:val="20"/>
          <w:szCs w:val="20"/>
        </w:rPr>
        <w:t>offers other additional financial benefits</w:t>
      </w:r>
      <w:r w:rsidR="00EF46DB">
        <w:rPr>
          <w:sz w:val="20"/>
          <w:szCs w:val="20"/>
        </w:rPr>
        <w:t xml:space="preserve"> to the community</w:t>
      </w:r>
      <w:r>
        <w:rPr>
          <w:sz w:val="20"/>
          <w:szCs w:val="20"/>
        </w:rPr>
        <w:t>.</w:t>
      </w:r>
    </w:p>
    <w:p w14:paraId="1BD85A31" w14:textId="77777777" w:rsidR="008C3561" w:rsidRDefault="00EC159D">
      <w:pPr>
        <w:numPr>
          <w:ilvl w:val="0"/>
          <w:numId w:val="1"/>
        </w:numPr>
        <w:spacing w:after="0" w:line="240" w:lineRule="auto"/>
        <w:rPr>
          <w:rFonts w:ascii="Karla" w:eastAsia="Karla" w:hAnsi="Karla" w:cs="Karla"/>
          <w:sz w:val="20"/>
          <w:szCs w:val="20"/>
        </w:rPr>
      </w:pPr>
      <w:r>
        <w:rPr>
          <w:b/>
          <w:i/>
          <w:sz w:val="20"/>
          <w:szCs w:val="20"/>
        </w:rPr>
        <w:t xml:space="preserve">Transparency and decision making: </w:t>
      </w:r>
      <w:r>
        <w:rPr>
          <w:sz w:val="20"/>
          <w:szCs w:val="20"/>
        </w:rPr>
        <w:t>Clear reporting and decision-making</w:t>
      </w:r>
      <w:r>
        <w:rPr>
          <w:b/>
          <w:i/>
          <w:sz w:val="20"/>
          <w:szCs w:val="20"/>
        </w:rPr>
        <w:t xml:space="preserve"> </w:t>
      </w:r>
      <w:r>
        <w:rPr>
          <w:sz w:val="20"/>
          <w:szCs w:val="20"/>
        </w:rPr>
        <w:t>power is offered to the relevant community.</w:t>
      </w:r>
    </w:p>
    <w:p w14:paraId="5608DAA6" w14:textId="77777777" w:rsidR="008C3561" w:rsidRDefault="00EC159D">
      <w:pPr>
        <w:numPr>
          <w:ilvl w:val="0"/>
          <w:numId w:val="1"/>
        </w:numPr>
        <w:spacing w:after="0" w:line="240" w:lineRule="auto"/>
        <w:rPr>
          <w:rFonts w:ascii="Karla" w:eastAsia="Karla" w:hAnsi="Karla" w:cs="Karla"/>
          <w:sz w:val="20"/>
          <w:szCs w:val="20"/>
        </w:rPr>
      </w:pPr>
      <w:r>
        <w:rPr>
          <w:b/>
          <w:i/>
          <w:sz w:val="20"/>
          <w:szCs w:val="20"/>
        </w:rPr>
        <w:t xml:space="preserve">Scale: </w:t>
      </w:r>
      <w:r>
        <w:rPr>
          <w:sz w:val="20"/>
          <w:szCs w:val="20"/>
        </w:rPr>
        <w:t>Project is appropriately scaled to the local environment and/or community.</w:t>
      </w:r>
    </w:p>
    <w:p w14:paraId="2CB8EBC5" w14:textId="08654064" w:rsidR="008C3561" w:rsidRDefault="00EC159D" w:rsidP="00254423">
      <w:pPr>
        <w:numPr>
          <w:ilvl w:val="0"/>
          <w:numId w:val="1"/>
        </w:numPr>
        <w:spacing w:after="0" w:line="240" w:lineRule="auto"/>
        <w:rPr>
          <w:rFonts w:ascii="Karla" w:eastAsia="Karla" w:hAnsi="Karla" w:cs="Karla"/>
          <w:sz w:val="20"/>
          <w:szCs w:val="20"/>
        </w:rPr>
      </w:pPr>
      <w:r>
        <w:rPr>
          <w:b/>
          <w:i/>
          <w:sz w:val="20"/>
          <w:szCs w:val="20"/>
        </w:rPr>
        <w:t xml:space="preserve">Skills and economy: </w:t>
      </w:r>
      <w:r>
        <w:rPr>
          <w:sz w:val="20"/>
          <w:szCs w:val="20"/>
        </w:rPr>
        <w:t xml:space="preserve">Project </w:t>
      </w:r>
      <w:r w:rsidR="00254423" w:rsidRPr="00254423">
        <w:rPr>
          <w:sz w:val="20"/>
          <w:szCs w:val="20"/>
        </w:rPr>
        <w:t xml:space="preserve">sources goods and services </w:t>
      </w:r>
      <w:r w:rsidR="00254423">
        <w:rPr>
          <w:sz w:val="20"/>
          <w:szCs w:val="20"/>
        </w:rPr>
        <w:t>from</w:t>
      </w:r>
      <w:r>
        <w:rPr>
          <w:sz w:val="20"/>
          <w:szCs w:val="20"/>
        </w:rPr>
        <w:t xml:space="preserve"> the local community.</w:t>
      </w:r>
    </w:p>
    <w:p w14:paraId="4D39B9C2" w14:textId="77777777" w:rsidR="008C3561" w:rsidRDefault="00EC159D">
      <w:pPr>
        <w:spacing w:before="360" w:after="120" w:line="240" w:lineRule="auto"/>
        <w:rPr>
          <w:b/>
          <w:sz w:val="36"/>
          <w:szCs w:val="36"/>
        </w:rPr>
      </w:pPr>
      <w:r>
        <w:rPr>
          <w:color w:val="000000"/>
          <w:sz w:val="32"/>
          <w:szCs w:val="32"/>
        </w:rPr>
        <w:t>Conclusion</w:t>
      </w:r>
    </w:p>
    <w:p w14:paraId="3A983579" w14:textId="3A291FFA" w:rsidR="008C3561" w:rsidRDefault="00EC159D">
      <w:pPr>
        <w:spacing w:line="240" w:lineRule="auto"/>
        <w:rPr>
          <w:sz w:val="20"/>
          <w:szCs w:val="20"/>
        </w:rPr>
      </w:pPr>
      <w:r>
        <w:rPr>
          <w:sz w:val="20"/>
          <w:szCs w:val="20"/>
        </w:rPr>
        <w:t>In conclusion, we believe the VNBI is a great opportunity to support the state's transition to zero-net emissions and has the potential to enable community leadership, should the program explicitly address community benefit. By seeking to enable ownership, investment, greater transparency, decision-making power and working with local skills and trades, these batteries will deliver more than market and network services b</w:t>
      </w:r>
      <w:r w:rsidR="00254423">
        <w:rPr>
          <w:sz w:val="20"/>
          <w:szCs w:val="20"/>
        </w:rPr>
        <w:t>y</w:t>
      </w:r>
      <w:r>
        <w:rPr>
          <w:sz w:val="20"/>
          <w:szCs w:val="20"/>
        </w:rPr>
        <w:t xml:space="preserve"> strengthen</w:t>
      </w:r>
      <w:r w:rsidR="00254423">
        <w:rPr>
          <w:sz w:val="20"/>
          <w:szCs w:val="20"/>
        </w:rPr>
        <w:t>ing</w:t>
      </w:r>
      <w:r>
        <w:rPr>
          <w:sz w:val="20"/>
          <w:szCs w:val="20"/>
        </w:rPr>
        <w:t xml:space="preserve"> local economies and enhanc</w:t>
      </w:r>
      <w:r w:rsidR="00254423">
        <w:rPr>
          <w:sz w:val="20"/>
          <w:szCs w:val="20"/>
        </w:rPr>
        <w:t>ing</w:t>
      </w:r>
      <w:r>
        <w:rPr>
          <w:sz w:val="20"/>
          <w:szCs w:val="20"/>
        </w:rPr>
        <w:t xml:space="preserve"> climate resilience.</w:t>
      </w:r>
    </w:p>
    <w:p w14:paraId="784BC70F" w14:textId="4C49DC05" w:rsidR="008C3561" w:rsidRDefault="00EC159D">
      <w:pPr>
        <w:spacing w:line="240" w:lineRule="auto"/>
        <w:rPr>
          <w:sz w:val="20"/>
          <w:szCs w:val="20"/>
        </w:rPr>
      </w:pPr>
      <w:r>
        <w:rPr>
          <w:sz w:val="20"/>
          <w:szCs w:val="20"/>
        </w:rPr>
        <w:t>Thank you for your time and consideration.</w:t>
      </w:r>
    </w:p>
    <w:p w14:paraId="0D9726E8" w14:textId="488A9743" w:rsidR="008C3561" w:rsidRDefault="00EC159D">
      <w:pPr>
        <w:spacing w:line="240" w:lineRule="auto"/>
        <w:rPr>
          <w:sz w:val="20"/>
          <w:szCs w:val="20"/>
        </w:rPr>
      </w:pPr>
      <w:r>
        <w:rPr>
          <w:sz w:val="20"/>
          <w:szCs w:val="20"/>
        </w:rPr>
        <w:t>Sincerely,</w:t>
      </w:r>
    </w:p>
    <w:p w14:paraId="7ABC4A79" w14:textId="77777777" w:rsidR="008C3561" w:rsidRDefault="00EC159D">
      <w:pPr>
        <w:spacing w:line="240" w:lineRule="auto"/>
        <w:rPr>
          <w:sz w:val="20"/>
          <w:szCs w:val="20"/>
        </w:rPr>
      </w:pPr>
      <w:r>
        <w:rPr>
          <w:sz w:val="20"/>
          <w:szCs w:val="20"/>
        </w:rPr>
        <w:t xml:space="preserve">Heather Smith </w:t>
      </w:r>
    </w:p>
    <w:p w14:paraId="24820D01" w14:textId="77777777" w:rsidR="008C3561" w:rsidRDefault="00EC159D">
      <w:pPr>
        <w:spacing w:line="240" w:lineRule="auto"/>
        <w:rPr>
          <w:sz w:val="20"/>
          <w:szCs w:val="20"/>
        </w:rPr>
      </w:pPr>
      <w:r>
        <w:rPr>
          <w:sz w:val="20"/>
          <w:szCs w:val="20"/>
        </w:rPr>
        <w:t xml:space="preserve">Chairperson </w:t>
      </w:r>
    </w:p>
    <w:p w14:paraId="4135C8EA" w14:textId="77777777" w:rsidR="008C3561" w:rsidRDefault="008C3561"/>
    <w:sectPr w:rsidR="008C3561">
      <w:headerReference w:type="default" r:id="rId10"/>
      <w:footerReference w:type="default" r:id="rId11"/>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51DEF" w14:textId="77777777" w:rsidR="00462FF2" w:rsidRDefault="00462FF2">
      <w:pPr>
        <w:spacing w:after="0" w:line="240" w:lineRule="auto"/>
      </w:pPr>
      <w:r>
        <w:separator/>
      </w:r>
    </w:p>
  </w:endnote>
  <w:endnote w:type="continuationSeparator" w:id="0">
    <w:p w14:paraId="38179BAB" w14:textId="77777777" w:rsidR="00462FF2" w:rsidRDefault="0046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Karla">
    <w:altName w:val="Calibri"/>
    <w:panose1 w:val="020B0604020202020204"/>
    <w:charset w:val="00"/>
    <w:family w:val="auto"/>
    <w:pitch w:val="default"/>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88E0A" w14:textId="77777777" w:rsidR="008C3561" w:rsidRDefault="00EC159D">
    <w:pPr>
      <w:spacing w:after="0" w:line="256" w:lineRule="auto"/>
      <w:ind w:right="-3800"/>
      <w:rPr>
        <w:rFonts w:ascii="Arial Narrow" w:eastAsia="Arial Narrow" w:hAnsi="Arial Narrow" w:cs="Arial Narrow"/>
        <w:b/>
        <w:color w:val="1A97A0"/>
        <w:sz w:val="16"/>
        <w:szCs w:val="16"/>
      </w:rPr>
    </w:pPr>
    <w:r>
      <w:rPr>
        <w:noProof/>
        <w:lang w:val="en-US"/>
      </w:rPr>
      <mc:AlternateContent>
        <mc:Choice Requires="wpg">
          <w:drawing>
            <wp:anchor distT="0" distB="0" distL="114300" distR="114300" simplePos="0" relativeHeight="251659264" behindDoc="0" locked="0" layoutInCell="1" hidden="0" allowOverlap="1" wp14:anchorId="6972723C" wp14:editId="66954E86">
              <wp:simplePos x="0" y="0"/>
              <wp:positionH relativeFrom="column">
                <wp:posOffset>-457199</wp:posOffset>
              </wp:positionH>
              <wp:positionV relativeFrom="paragraph">
                <wp:posOffset>0</wp:posOffset>
              </wp:positionV>
              <wp:extent cx="7543800" cy="45719"/>
              <wp:effectExtent l="0" t="0" r="0" b="0"/>
              <wp:wrapNone/>
              <wp:docPr id="19" name="Group 19"/>
              <wp:cNvGraphicFramePr/>
              <a:graphic xmlns:a="http://schemas.openxmlformats.org/drawingml/2006/main">
                <a:graphicData uri="http://schemas.microsoft.com/office/word/2010/wordprocessingGroup">
                  <wpg:wgp>
                    <wpg:cNvGrpSpPr/>
                    <wpg:grpSpPr>
                      <a:xfrm>
                        <a:off x="0" y="0"/>
                        <a:ext cx="7543800" cy="45719"/>
                        <a:chOff x="1574100" y="3757141"/>
                        <a:chExt cx="7543800" cy="45719"/>
                      </a:xfrm>
                    </wpg:grpSpPr>
                    <wpg:grpSp>
                      <wpg:cNvPr id="1" name="Group 1"/>
                      <wpg:cNvGrpSpPr/>
                      <wpg:grpSpPr>
                        <a:xfrm>
                          <a:off x="1574100" y="3757141"/>
                          <a:ext cx="7543800" cy="45719"/>
                          <a:chOff x="0" y="0"/>
                          <a:chExt cx="3660677" cy="168467"/>
                        </a:xfrm>
                      </wpg:grpSpPr>
                      <wps:wsp>
                        <wps:cNvPr id="2" name="Rectangle 2"/>
                        <wps:cNvSpPr/>
                        <wps:spPr>
                          <a:xfrm>
                            <a:off x="0" y="0"/>
                            <a:ext cx="3660675" cy="168450"/>
                          </a:xfrm>
                          <a:prstGeom prst="rect">
                            <a:avLst/>
                          </a:prstGeom>
                          <a:noFill/>
                          <a:ln>
                            <a:noFill/>
                          </a:ln>
                        </wps:spPr>
                        <wps:txbx>
                          <w:txbxContent>
                            <w:p w14:paraId="4E5FF929" w14:textId="77777777" w:rsidR="008C3561" w:rsidRDefault="008C3561">
                              <w:pPr>
                                <w:spacing w:after="0" w:line="240" w:lineRule="auto"/>
                                <w:textDirection w:val="btLr"/>
                              </w:pPr>
                            </w:p>
                          </w:txbxContent>
                        </wps:txbx>
                        <wps:bodyPr spcFirstLastPara="1" wrap="square" lIns="91425" tIns="91425" rIns="91425" bIns="91425" anchor="ctr" anchorCtr="0">
                          <a:noAutofit/>
                        </wps:bodyPr>
                      </wps:wsp>
                      <wps:wsp>
                        <wps:cNvPr id="3" name="Freeform: Shape 3"/>
                        <wps:cNvSpPr/>
                        <wps:spPr>
                          <a:xfrm>
                            <a:off x="0" y="0"/>
                            <a:ext cx="3660677" cy="168467"/>
                          </a:xfrm>
                          <a:custGeom>
                            <a:avLst/>
                            <a:gdLst/>
                            <a:ahLst/>
                            <a:cxnLst/>
                            <a:rect l="l" t="t" r="r" b="b"/>
                            <a:pathLst>
                              <a:path w="3660677" h="168467" extrusionOk="0">
                                <a:moveTo>
                                  <a:pt x="0" y="0"/>
                                </a:moveTo>
                                <a:lnTo>
                                  <a:pt x="3660677" y="0"/>
                                </a:lnTo>
                                <a:lnTo>
                                  <a:pt x="3660677" y="168467"/>
                                </a:lnTo>
                                <a:lnTo>
                                  <a:pt x="0" y="168467"/>
                                </a:lnTo>
                                <a:lnTo>
                                  <a:pt x="0" y="0"/>
                                </a:lnTo>
                              </a:path>
                            </a:pathLst>
                          </a:custGeom>
                          <a:gradFill>
                            <a:gsLst>
                              <a:gs pos="0">
                                <a:srgbClr val="2EAFB0"/>
                              </a:gs>
                              <a:gs pos="100000">
                                <a:srgbClr val="0A5D86"/>
                              </a:gs>
                            </a:gsLst>
                            <a:lin ang="0" scaled="0"/>
                          </a:gradFill>
                          <a:ln>
                            <a:noFill/>
                          </a:ln>
                        </wps:spPr>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7543800" cy="45719"/>
              <wp:effectExtent b="0" l="0" r="0" t="0"/>
              <wp:wrapNone/>
              <wp:docPr id="1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43800" cy="45719"/>
                      </a:xfrm>
                      <a:prstGeom prst="rect"/>
                      <a:ln/>
                    </pic:spPr>
                  </pic:pic>
                </a:graphicData>
              </a:graphic>
            </wp:anchor>
          </w:drawing>
        </mc:Fallback>
      </mc:AlternateContent>
    </w:r>
  </w:p>
  <w:p w14:paraId="7ACDF8E9" w14:textId="77777777" w:rsidR="008C3561" w:rsidRDefault="00EC159D">
    <w:pPr>
      <w:spacing w:after="0" w:line="256" w:lineRule="auto"/>
      <w:ind w:right="-3800"/>
      <w:rPr>
        <w:rFonts w:ascii="Arial Narrow" w:eastAsia="Arial Narrow" w:hAnsi="Arial Narrow" w:cs="Arial Narrow"/>
        <w:b/>
        <w:color w:val="1A97A0"/>
        <w:sz w:val="16"/>
        <w:szCs w:val="16"/>
      </w:rPr>
    </w:pPr>
    <w:r>
      <w:rPr>
        <w:rFonts w:ascii="Arial Narrow" w:eastAsia="Arial Narrow" w:hAnsi="Arial Narrow" w:cs="Arial Narrow"/>
        <w:b/>
        <w:color w:val="1A97A0"/>
        <w:sz w:val="16"/>
        <w:szCs w:val="16"/>
      </w:rPr>
      <w:t xml:space="preserve">Embark Australia Ltd trading as   </w:t>
    </w:r>
    <w:r>
      <w:rPr>
        <w:rFonts w:ascii="Arial Narrow" w:eastAsia="Arial Narrow" w:hAnsi="Arial Narrow" w:cs="Arial Narrow"/>
        <w:b/>
        <w:color w:val="1A97A0"/>
        <w:sz w:val="18"/>
        <w:szCs w:val="18"/>
      </w:rPr>
      <w:t xml:space="preserve">COALITION FOR COMMUNITY ENERGY   </w:t>
    </w:r>
    <w:r>
      <w:rPr>
        <w:rFonts w:ascii="Arial Narrow" w:eastAsia="Arial Narrow" w:hAnsi="Arial Narrow" w:cs="Arial Narrow"/>
        <w:b/>
        <w:color w:val="1A97A0"/>
        <w:sz w:val="16"/>
        <w:szCs w:val="16"/>
      </w:rPr>
      <w:t>ABN 76 140 094 882 CAN: 140 094 882  c/o 12 Hampstead Hill Road, ALDGATE SA 5154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3EF77" w14:textId="77777777" w:rsidR="00462FF2" w:rsidRDefault="00462FF2">
      <w:pPr>
        <w:spacing w:after="0" w:line="240" w:lineRule="auto"/>
      </w:pPr>
      <w:r>
        <w:separator/>
      </w:r>
    </w:p>
  </w:footnote>
  <w:footnote w:type="continuationSeparator" w:id="0">
    <w:p w14:paraId="10D6208F" w14:textId="77777777" w:rsidR="00462FF2" w:rsidRDefault="00462FF2">
      <w:pPr>
        <w:spacing w:after="0" w:line="240" w:lineRule="auto"/>
      </w:pPr>
      <w:r>
        <w:continuationSeparator/>
      </w:r>
    </w:p>
  </w:footnote>
  <w:footnote w:id="1">
    <w:p w14:paraId="08F245A5" w14:textId="77777777" w:rsidR="008C3561" w:rsidRDefault="00EC159D">
      <w:pPr>
        <w:spacing w:after="0" w:line="240" w:lineRule="auto"/>
        <w:rPr>
          <w:sz w:val="18"/>
          <w:szCs w:val="18"/>
        </w:rPr>
      </w:pPr>
      <w:r>
        <w:rPr>
          <w:rStyle w:val="FootnoteReference"/>
        </w:rPr>
        <w:footnoteRef/>
      </w:r>
      <w:r>
        <w:rPr>
          <w:sz w:val="18"/>
          <w:szCs w:val="18"/>
        </w:rPr>
        <w:t xml:space="preserve">  Since 2015, three community energy practitioners have been awarded Churchill Fellowships to investigate international developments in energy transitions and community energy. Their reports can be found here: </w:t>
      </w:r>
    </w:p>
    <w:p w14:paraId="5166920C" w14:textId="77777777" w:rsidR="008C3561" w:rsidRDefault="00462FF2">
      <w:pPr>
        <w:spacing w:after="0" w:line="240" w:lineRule="auto"/>
        <w:rPr>
          <w:color w:val="1A97A0"/>
          <w:sz w:val="18"/>
          <w:szCs w:val="18"/>
        </w:rPr>
      </w:pPr>
      <w:hyperlink r:id="rId1">
        <w:r w:rsidR="00EC159D">
          <w:rPr>
            <w:color w:val="1A97A0"/>
            <w:sz w:val="18"/>
            <w:szCs w:val="18"/>
            <w:u w:val="single"/>
          </w:rPr>
          <w:t>Taryn Lane – Transitioning regional towns to 100% renewable energy</w:t>
        </w:r>
      </w:hyperlink>
    </w:p>
    <w:p w14:paraId="66FDBEA8" w14:textId="77777777" w:rsidR="008C3561" w:rsidRDefault="00462FF2">
      <w:pPr>
        <w:spacing w:after="0" w:line="240" w:lineRule="auto"/>
        <w:rPr>
          <w:color w:val="1A97A0"/>
          <w:sz w:val="18"/>
          <w:szCs w:val="18"/>
        </w:rPr>
      </w:pPr>
      <w:hyperlink r:id="rId2">
        <w:r w:rsidR="00EC159D">
          <w:rPr>
            <w:color w:val="1A97A0"/>
            <w:sz w:val="18"/>
            <w:szCs w:val="18"/>
            <w:u w:val="single"/>
          </w:rPr>
          <w:t>Chris Cooper – Transforming the community solar sector</w:t>
        </w:r>
      </w:hyperlink>
    </w:p>
    <w:p w14:paraId="2F882D3E" w14:textId="77777777" w:rsidR="008C3561" w:rsidRDefault="00462FF2">
      <w:pPr>
        <w:spacing w:after="0" w:line="240" w:lineRule="auto"/>
        <w:rPr>
          <w:color w:val="1A97A0"/>
          <w:sz w:val="18"/>
          <w:szCs w:val="18"/>
        </w:rPr>
      </w:pPr>
      <w:hyperlink r:id="rId3">
        <w:r w:rsidR="00EC159D">
          <w:rPr>
            <w:color w:val="1A97A0"/>
            <w:sz w:val="18"/>
            <w:szCs w:val="18"/>
            <w:u w:val="single"/>
          </w:rPr>
          <w:t>Heather Smith – Governance structures in community energy schemes</w:t>
        </w:r>
      </w:hyperlink>
    </w:p>
  </w:footnote>
  <w:footnote w:id="2">
    <w:p w14:paraId="163C60D1" w14:textId="77777777" w:rsidR="00776B27" w:rsidRPr="00FE277E" w:rsidRDefault="00776B27">
      <w:pPr>
        <w:pStyle w:val="FootnoteText"/>
        <w:rPr>
          <w:lang w:val="en-US"/>
        </w:rPr>
      </w:pPr>
      <w:r>
        <w:rPr>
          <w:rStyle w:val="FootnoteReference"/>
        </w:rPr>
        <w:footnoteRef/>
      </w:r>
      <w:r>
        <w:t xml:space="preserve"> See for example </w:t>
      </w:r>
      <w:hyperlink r:id="rId4" w:history="1">
        <w:r w:rsidRPr="00EB17F1">
          <w:rPr>
            <w:rStyle w:val="Hyperlink"/>
          </w:rPr>
          <w:t>https://www.westernpower.com.au/our-energy-evolution/projects-and-trials/powerbank-community-battery-storage/</w:t>
        </w:r>
      </w:hyperlink>
      <w:r>
        <w:t>.</w:t>
      </w:r>
    </w:p>
  </w:footnote>
  <w:footnote w:id="3">
    <w:p w14:paraId="255AFBBB" w14:textId="77777777" w:rsidR="005E78AA" w:rsidRPr="005E78AA" w:rsidRDefault="005E78AA">
      <w:pPr>
        <w:pStyle w:val="FootnoteText"/>
        <w:rPr>
          <w:lang w:val="en-US"/>
        </w:rPr>
      </w:pPr>
      <w:r>
        <w:rPr>
          <w:rStyle w:val="FootnoteReference"/>
        </w:rPr>
        <w:footnoteRef/>
      </w:r>
      <w:r>
        <w:t xml:space="preserve"> </w:t>
      </w:r>
      <w:r w:rsidRPr="005E78AA">
        <w:t>Ransan-Cooper, H. Stakeholder views on the potential role of community scale storage in Australia, Australian National University, Canberra, December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7351C" w14:textId="77777777" w:rsidR="008C3561" w:rsidRDefault="00EC159D">
    <w:pPr>
      <w:spacing w:after="0" w:line="240" w:lineRule="auto"/>
      <w:jc w:val="center"/>
    </w:pPr>
    <w:bookmarkStart w:id="0" w:name="_heading=h.30j0zll" w:colFirst="0" w:colLast="0"/>
    <w:bookmarkEnd w:id="0"/>
    <w:r>
      <w:rPr>
        <w:noProof/>
        <w:lang w:val="en-US"/>
      </w:rPr>
      <w:drawing>
        <wp:anchor distT="0" distB="0" distL="114300" distR="114300" simplePos="0" relativeHeight="251658240" behindDoc="0" locked="0" layoutInCell="1" hidden="0" allowOverlap="1" wp14:anchorId="4B93EA83" wp14:editId="04987FFB">
          <wp:simplePos x="0" y="0"/>
          <wp:positionH relativeFrom="column">
            <wp:posOffset>-75564</wp:posOffset>
          </wp:positionH>
          <wp:positionV relativeFrom="paragraph">
            <wp:posOffset>-333374</wp:posOffset>
          </wp:positionV>
          <wp:extent cx="4045585" cy="840740"/>
          <wp:effectExtent l="0" t="0" r="0" b="0"/>
          <wp:wrapSquare wrapText="bothSides" distT="0" distB="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045585" cy="840740"/>
                  </a:xfrm>
                  <a:prstGeom prst="rect">
                    <a:avLst/>
                  </a:prstGeom>
                  <a:ln/>
                </pic:spPr>
              </pic:pic>
            </a:graphicData>
          </a:graphic>
        </wp:anchor>
      </w:drawing>
    </w:r>
  </w:p>
  <w:p w14:paraId="527D2A78" w14:textId="77777777" w:rsidR="008C3561" w:rsidRDefault="008C3561">
    <w:pPr>
      <w:spacing w:after="0" w:line="240" w:lineRule="auto"/>
      <w:jc w:val="center"/>
    </w:pPr>
  </w:p>
  <w:p w14:paraId="26D31962" w14:textId="77777777" w:rsidR="008C3561" w:rsidRDefault="008C3561">
    <w:pPr>
      <w:spacing w:after="0" w:line="240" w:lineRule="auto"/>
      <w:jc w:val="center"/>
    </w:pPr>
  </w:p>
  <w:p w14:paraId="0B818BA3" w14:textId="77777777" w:rsidR="008C3561" w:rsidRDefault="008C3561">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87265C"/>
    <w:multiLevelType w:val="multilevel"/>
    <w:tmpl w:val="AF0CE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61"/>
    <w:rsid w:val="00254423"/>
    <w:rsid w:val="00394EF0"/>
    <w:rsid w:val="003C4056"/>
    <w:rsid w:val="00462FF2"/>
    <w:rsid w:val="00490039"/>
    <w:rsid w:val="005E78AA"/>
    <w:rsid w:val="00776B27"/>
    <w:rsid w:val="008C3561"/>
    <w:rsid w:val="00994D8B"/>
    <w:rsid w:val="009E6A41"/>
    <w:rsid w:val="00B26DFD"/>
    <w:rsid w:val="00B83217"/>
    <w:rsid w:val="00C93C66"/>
    <w:rsid w:val="00D94F1D"/>
    <w:rsid w:val="00EC159D"/>
    <w:rsid w:val="00EF46DB"/>
    <w:rsid w:val="00FE2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CD55"/>
  <w15:docId w15:val="{825BA069-F389-4DA5-9884-8DA8F4D5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D9"/>
    <w:rPr>
      <w:lang w:val="en-AU"/>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A569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A5692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0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D39"/>
    <w:rPr>
      <w:lang w:val="en-AU"/>
    </w:rPr>
  </w:style>
  <w:style w:type="paragraph" w:styleId="Footer">
    <w:name w:val="footer"/>
    <w:basedOn w:val="Normal"/>
    <w:link w:val="FooterChar"/>
    <w:uiPriority w:val="99"/>
    <w:unhideWhenUsed/>
    <w:rsid w:val="00E0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D39"/>
    <w:rPr>
      <w:lang w:val="en-AU"/>
    </w:rPr>
  </w:style>
  <w:style w:type="character" w:customStyle="1" w:styleId="im">
    <w:name w:val="im"/>
    <w:basedOn w:val="DefaultParagraphFont"/>
    <w:rsid w:val="00545B7F"/>
  </w:style>
  <w:style w:type="character" w:customStyle="1" w:styleId="il">
    <w:name w:val="il"/>
    <w:basedOn w:val="DefaultParagraphFont"/>
    <w:rsid w:val="00545B7F"/>
  </w:style>
  <w:style w:type="paragraph" w:styleId="BalloonText">
    <w:name w:val="Balloon Text"/>
    <w:basedOn w:val="Normal"/>
    <w:link w:val="BalloonTextChar"/>
    <w:uiPriority w:val="99"/>
    <w:semiHidden/>
    <w:unhideWhenUsed/>
    <w:rsid w:val="00DA7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0E7"/>
    <w:rPr>
      <w:rFonts w:ascii="Segoe UI" w:hAnsi="Segoe UI" w:cs="Segoe UI"/>
      <w:sz w:val="18"/>
      <w:szCs w:val="18"/>
      <w:lang w:val="en-AU"/>
    </w:rPr>
  </w:style>
  <w:style w:type="paragraph" w:styleId="ListParagraph">
    <w:name w:val="List Paragraph"/>
    <w:basedOn w:val="Normal"/>
    <w:uiPriority w:val="34"/>
    <w:qFormat/>
    <w:rsid w:val="00DA70E7"/>
    <w:pPr>
      <w:ind w:left="720"/>
      <w:contextualSpacing/>
    </w:pPr>
  </w:style>
  <w:style w:type="character" w:styleId="Hyperlink">
    <w:name w:val="Hyperlink"/>
    <w:basedOn w:val="DefaultParagraphFont"/>
    <w:uiPriority w:val="99"/>
    <w:unhideWhenUsed/>
    <w:rsid w:val="00AB265B"/>
    <w:rPr>
      <w:color w:val="68E6DD" w:themeColor="hyperlink"/>
      <w:u w:val="single"/>
    </w:rPr>
  </w:style>
  <w:style w:type="character" w:customStyle="1" w:styleId="UnresolvedMention1">
    <w:name w:val="Unresolved Mention1"/>
    <w:basedOn w:val="DefaultParagraphFont"/>
    <w:uiPriority w:val="99"/>
    <w:semiHidden/>
    <w:unhideWhenUsed/>
    <w:rsid w:val="00AB265B"/>
    <w:rPr>
      <w:color w:val="605E5C"/>
      <w:shd w:val="clear" w:color="auto" w:fill="E1DFDD"/>
    </w:rPr>
  </w:style>
  <w:style w:type="character" w:styleId="Strong">
    <w:name w:val="Strong"/>
    <w:basedOn w:val="DefaultParagraphFont"/>
    <w:uiPriority w:val="22"/>
    <w:qFormat/>
    <w:rsid w:val="009252CF"/>
    <w:rPr>
      <w:b/>
      <w:bCs/>
    </w:rPr>
  </w:style>
  <w:style w:type="paragraph" w:styleId="NormalWeb">
    <w:name w:val="Normal (Web)"/>
    <w:basedOn w:val="Normal"/>
    <w:uiPriority w:val="99"/>
    <w:semiHidden/>
    <w:unhideWhenUsed/>
    <w:rsid w:val="009252CF"/>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970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276D"/>
    <w:rPr>
      <w:sz w:val="16"/>
      <w:szCs w:val="16"/>
    </w:rPr>
  </w:style>
  <w:style w:type="paragraph" w:styleId="CommentText">
    <w:name w:val="annotation text"/>
    <w:basedOn w:val="Normal"/>
    <w:link w:val="CommentTextChar"/>
    <w:uiPriority w:val="99"/>
    <w:semiHidden/>
    <w:unhideWhenUsed/>
    <w:rsid w:val="0014276D"/>
    <w:pPr>
      <w:spacing w:line="240" w:lineRule="auto"/>
    </w:pPr>
    <w:rPr>
      <w:sz w:val="20"/>
      <w:szCs w:val="20"/>
    </w:rPr>
  </w:style>
  <w:style w:type="character" w:customStyle="1" w:styleId="CommentTextChar">
    <w:name w:val="Comment Text Char"/>
    <w:basedOn w:val="DefaultParagraphFont"/>
    <w:link w:val="CommentText"/>
    <w:uiPriority w:val="99"/>
    <w:semiHidden/>
    <w:rsid w:val="0014276D"/>
    <w:rPr>
      <w:sz w:val="20"/>
      <w:szCs w:val="20"/>
      <w:lang w:val="en-AU"/>
    </w:rPr>
  </w:style>
  <w:style w:type="paragraph" w:styleId="CommentSubject">
    <w:name w:val="annotation subject"/>
    <w:basedOn w:val="CommentText"/>
    <w:next w:val="CommentText"/>
    <w:link w:val="CommentSubjectChar"/>
    <w:uiPriority w:val="99"/>
    <w:semiHidden/>
    <w:unhideWhenUsed/>
    <w:rsid w:val="0014276D"/>
    <w:rPr>
      <w:b/>
      <w:bCs/>
    </w:rPr>
  </w:style>
  <w:style w:type="character" w:customStyle="1" w:styleId="CommentSubjectChar">
    <w:name w:val="Comment Subject Char"/>
    <w:basedOn w:val="CommentTextChar"/>
    <w:link w:val="CommentSubject"/>
    <w:uiPriority w:val="99"/>
    <w:semiHidden/>
    <w:rsid w:val="0014276D"/>
    <w:rPr>
      <w:b/>
      <w:bCs/>
      <w:sz w:val="20"/>
      <w:szCs w:val="20"/>
      <w:lang w:val="en-AU"/>
    </w:rPr>
  </w:style>
  <w:style w:type="character" w:customStyle="1" w:styleId="Heading2Char">
    <w:name w:val="Heading 2 Char"/>
    <w:basedOn w:val="DefaultParagraphFont"/>
    <w:link w:val="Heading2"/>
    <w:uiPriority w:val="9"/>
    <w:rsid w:val="00A56923"/>
    <w:rPr>
      <w:rFonts w:ascii="Times New Roman" w:eastAsia="Times New Roman" w:hAnsi="Times New Roman" w:cs="Times New Roman"/>
      <w:b/>
      <w:bCs/>
      <w:sz w:val="36"/>
      <w:szCs w:val="36"/>
      <w:lang w:val="en-AU" w:eastAsia="en-GB"/>
    </w:rPr>
  </w:style>
  <w:style w:type="character" w:customStyle="1" w:styleId="Heading4Char">
    <w:name w:val="Heading 4 Char"/>
    <w:basedOn w:val="DefaultParagraphFont"/>
    <w:link w:val="Heading4"/>
    <w:uiPriority w:val="9"/>
    <w:rsid w:val="00A56923"/>
    <w:rPr>
      <w:rFonts w:ascii="Times New Roman" w:eastAsia="Times New Roman" w:hAnsi="Times New Roman" w:cs="Times New Roman"/>
      <w:b/>
      <w:bCs/>
      <w:sz w:val="24"/>
      <w:szCs w:val="24"/>
      <w:lang w:val="en-AU" w:eastAsia="en-GB"/>
    </w:rPr>
  </w:style>
  <w:style w:type="character" w:customStyle="1" w:styleId="apple-tab-span">
    <w:name w:val="apple-tab-span"/>
    <w:basedOn w:val="DefaultParagraphFont"/>
    <w:rsid w:val="00A56923"/>
  </w:style>
  <w:style w:type="paragraph" w:styleId="FootnoteText">
    <w:name w:val="footnote text"/>
    <w:basedOn w:val="Normal"/>
    <w:link w:val="FootnoteTextChar"/>
    <w:uiPriority w:val="99"/>
    <w:semiHidden/>
    <w:unhideWhenUsed/>
    <w:rsid w:val="004702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254"/>
    <w:rPr>
      <w:sz w:val="20"/>
      <w:szCs w:val="20"/>
      <w:lang w:val="en-AU"/>
    </w:rPr>
  </w:style>
  <w:style w:type="character" w:styleId="FootnoteReference">
    <w:name w:val="footnote reference"/>
    <w:basedOn w:val="DefaultParagraphFont"/>
    <w:uiPriority w:val="99"/>
    <w:semiHidden/>
    <w:unhideWhenUsed/>
    <w:rsid w:val="00470254"/>
    <w:rPr>
      <w:vertAlign w:val="superscript"/>
    </w:rPr>
  </w:style>
  <w:style w:type="character" w:customStyle="1" w:styleId="UnresolvedMention2">
    <w:name w:val="Unresolved Mention2"/>
    <w:basedOn w:val="DefaultParagraphFont"/>
    <w:uiPriority w:val="99"/>
    <w:rsid w:val="004A54D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eighbourhood.batteries@delwp.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hurchilltrust.com.au/project/to-identify-robust-governance-structures-in-community-energy-schemes---japan-germany-denmark-uk-usa/" TargetMode="External"/><Relationship Id="rId2" Type="http://schemas.openxmlformats.org/officeDocument/2006/relationships/hyperlink" Target="https://www.churchilltrust.com.au/project/to-transform-australias-community-solar-sector-by-learning-from-the-worlds-leading-community-energy-organisations---usa-uk-germany/" TargetMode="External"/><Relationship Id="rId1" Type="http://schemas.openxmlformats.org/officeDocument/2006/relationships/hyperlink" Target="https://www.churchilltrust.com.au/project/to-transition-regional-australian-towns-to-100-renewable-energy-by-learning-from-european-examples---germany-denmark-austria-sweden-uk/" TargetMode="External"/><Relationship Id="rId4" Type="http://schemas.openxmlformats.org/officeDocument/2006/relationships/hyperlink" Target="https://www.westernpower.com.au/our-energy-evolution/projects-and-trials/powerbank-community-battery-stor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595959"/>
      </a:dk1>
      <a:lt1>
        <a:sysClr val="window" lastClr="FFFFFF"/>
      </a:lt1>
      <a:dk2>
        <a:srgbClr val="1AA196"/>
      </a:dk2>
      <a:lt2>
        <a:srgbClr val="EEECE1"/>
      </a:lt2>
      <a:accent1>
        <a:srgbClr val="1AA196"/>
      </a:accent1>
      <a:accent2>
        <a:srgbClr val="E32A86"/>
      </a:accent2>
      <a:accent3>
        <a:srgbClr val="C6C736"/>
      </a:accent3>
      <a:accent4>
        <a:srgbClr val="EF85BA"/>
      </a:accent4>
      <a:accent5>
        <a:srgbClr val="1A97A0"/>
      </a:accent5>
      <a:accent6>
        <a:srgbClr val="C4BD97"/>
      </a:accent6>
      <a:hlink>
        <a:srgbClr val="68E6DD"/>
      </a:hlink>
      <a:folHlink>
        <a:srgbClr val="42424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cRXGD8hNP+Voi7sZZUEWOLmbng==">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</go:docsCustomData>
</go:gDocsCustomXmlDataStorage>
</file>

<file path=customXml/itemProps1.xml><?xml version="1.0" encoding="utf-8"?>
<ds:datastoreItem xmlns:ds="http://schemas.openxmlformats.org/officeDocument/2006/customXml" ds:itemID="{BD4EEC7A-2843-4E81-9D91-6C233B090CE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Heather Louise - smihl004</dc:creator>
  <cp:lastModifiedBy>Taryn Lane</cp:lastModifiedBy>
  <cp:revision>3</cp:revision>
  <dcterms:created xsi:type="dcterms:W3CDTF">2021-04-17T09:23:00Z</dcterms:created>
  <dcterms:modified xsi:type="dcterms:W3CDTF">2021-04-18T23:32:00Z</dcterms:modified>
</cp:coreProperties>
</file>